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B6" w:rsidRDefault="007A0FB6" w:rsidP="007A0FB6">
      <w:pPr>
        <w:spacing w:before="100" w:beforeAutospacing="1" w:after="100" w:afterAutospacing="1"/>
      </w:pPr>
      <w:r>
        <w:rPr>
          <w:rFonts w:ascii="Times New Roman" w:hAnsi="Times New Roman"/>
          <w:color w:val="auto"/>
        </w:rPr>
        <w:t xml:space="preserve">The following are the preliminary July 2017 hotel performance figures for Aruba derived from the reports submitted to AHATA. </w:t>
      </w:r>
    </w:p>
    <w:p w:rsidR="007A0FB6" w:rsidRDefault="007A0FB6" w:rsidP="007A0FB6">
      <w:pPr>
        <w:spacing w:after="240"/>
        <w:rPr>
          <w:rFonts w:hint="eastAsia"/>
        </w:rPr>
      </w:pPr>
      <w:r>
        <w:rPr>
          <w:rFonts w:ascii="Times New Roman" w:hAnsi="Times New Roman"/>
          <w:color w:val="auto"/>
        </w:rPr>
        <w:t>The numbers are the aggregate figures for 14 properties including all the major hotels (except for the Hilton Aruba).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2110"/>
        <w:gridCol w:w="1961"/>
        <w:gridCol w:w="1194"/>
        <w:gridCol w:w="774"/>
      </w:tblGrid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2017/2016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31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b/>
                <w:bCs/>
                <w:color w:val="auto"/>
              </w:rPr>
              <w:t>July 2017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change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Rooms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      4,634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   4,583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1.1%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ARN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                143,654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142,073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1.1%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ORN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 124,667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119,276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4.5%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occupancy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86.8%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84.0%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points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ADR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$209.72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$203.67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3.0%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Rev Par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$182.00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$170.99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6.4%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Based on data from 14 properties.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7A0FB6" w:rsidRDefault="007A0FB6" w:rsidP="007A0FB6">
      <w:pPr>
        <w:rPr>
          <w:rFonts w:hint="eastAsia"/>
        </w:rPr>
      </w:pPr>
      <w:r>
        <w:rPr>
          <w:rFonts w:ascii="Times New Roman" w:hAnsi="Times New Roman"/>
          <w:color w:val="auto"/>
        </w:rPr>
        <w:t xml:space="preserve">In summary: -  </w:t>
      </w:r>
    </w:p>
    <w:p w:rsidR="007A0FB6" w:rsidRDefault="007A0FB6" w:rsidP="007A0FB6">
      <w:pPr>
        <w:numPr>
          <w:ilvl w:val="0"/>
          <w:numId w:val="1"/>
        </w:numPr>
        <w:rPr>
          <w:rFonts w:ascii="Calibri" w:eastAsia="Times New Roman" w:hAnsi="Calibri" w:hint="eastAsia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Average room occupancy was up by 2.8 percentage points from 84.0% in July 2016 to 86.8% in July 2017. </w:t>
      </w:r>
    </w:p>
    <w:p w:rsidR="007A0FB6" w:rsidRDefault="007A0FB6" w:rsidP="007A0FB6">
      <w:pPr>
        <w:numPr>
          <w:ilvl w:val="0"/>
          <w:numId w:val="1"/>
        </w:numPr>
        <w:rPr>
          <w:rFonts w:ascii="Calibri" w:eastAsia="Times New Roman" w:hAnsi="Calibri"/>
          <w:color w:val="auto"/>
        </w:rPr>
      </w:pPr>
      <w:r>
        <w:rPr>
          <w:rFonts w:ascii="Times New Roman" w:eastAsia="Times New Roman" w:hAnsi="Times New Roman"/>
          <w:color w:val="auto"/>
        </w:rPr>
        <w:t>The overall number of available room nights increased by 1.1%. This was largely due to the addition of 53 rooms to the Tropicana Aruba Resort &amp; Casino which became operational during late December 2016.</w:t>
      </w:r>
    </w:p>
    <w:p w:rsidR="007A0FB6" w:rsidRDefault="007A0FB6" w:rsidP="007A0FB6">
      <w:pPr>
        <w:numPr>
          <w:ilvl w:val="0"/>
          <w:numId w:val="1"/>
        </w:numPr>
        <w:rPr>
          <w:rFonts w:ascii="Calibri" w:eastAsia="Times New Roman" w:hAnsi="Calibri"/>
          <w:color w:val="auto"/>
        </w:rPr>
      </w:pPr>
      <w:r>
        <w:rPr>
          <w:rFonts w:ascii="Times New Roman" w:eastAsia="Times New Roman" w:hAnsi="Times New Roman"/>
          <w:color w:val="auto"/>
        </w:rPr>
        <w:t>The total number of occupied room nights increased by 4.5%.</w:t>
      </w:r>
    </w:p>
    <w:p w:rsidR="007A0FB6" w:rsidRDefault="007A0FB6" w:rsidP="007A0FB6">
      <w:pPr>
        <w:numPr>
          <w:ilvl w:val="0"/>
          <w:numId w:val="1"/>
        </w:numPr>
        <w:rPr>
          <w:rFonts w:ascii="Calibri" w:eastAsia="Times New Roman" w:hAnsi="Calibri"/>
          <w:color w:val="auto"/>
        </w:rPr>
      </w:pPr>
      <w:r>
        <w:rPr>
          <w:rFonts w:ascii="Times New Roman" w:eastAsia="Times New Roman" w:hAnsi="Times New Roman"/>
          <w:color w:val="auto"/>
        </w:rPr>
        <w:t>The overall ADR grew by 3.0% from $203.67 in July 2016 to $209.72 in July 2017.</w:t>
      </w:r>
    </w:p>
    <w:p w:rsidR="007A0FB6" w:rsidRDefault="007A0FB6" w:rsidP="007A0FB6">
      <w:pPr>
        <w:numPr>
          <w:ilvl w:val="0"/>
          <w:numId w:val="1"/>
        </w:numPr>
        <w:rPr>
          <w:rFonts w:ascii="Calibri" w:eastAsia="Times New Roman" w:hAnsi="Calibri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With the higher average occupancies and higher ADRs </w:t>
      </w:r>
      <w:proofErr w:type="spellStart"/>
      <w:r>
        <w:rPr>
          <w:rFonts w:ascii="Times New Roman" w:eastAsia="Times New Roman" w:hAnsi="Times New Roman"/>
          <w:color w:val="auto"/>
        </w:rPr>
        <w:t>RevPar</w:t>
      </w:r>
      <w:proofErr w:type="spellEnd"/>
      <w:r>
        <w:rPr>
          <w:rFonts w:ascii="Times New Roman" w:eastAsia="Times New Roman" w:hAnsi="Times New Roman"/>
          <w:color w:val="auto"/>
        </w:rPr>
        <w:t xml:space="preserve"> increased by 6.4% from $170.99 in July 2016 to $182.00 in July 2017. </w:t>
      </w:r>
    </w:p>
    <w:p w:rsidR="007A0FB6" w:rsidRDefault="007A0FB6" w:rsidP="007A0FB6">
      <w:pPr>
        <w:pStyle w:val="ListParagraph"/>
      </w:pPr>
      <w:r>
        <w:rPr>
          <w:rFonts w:ascii="Times New Roman" w:hAnsi="Times New Roman"/>
          <w:color w:val="auto"/>
        </w:rPr>
        <w:t> </w:t>
      </w:r>
    </w:p>
    <w:p w:rsidR="007A0FB6" w:rsidRDefault="007A0FB6" w:rsidP="007A0FB6">
      <w:pPr>
        <w:rPr>
          <w:rFonts w:hint="eastAsia"/>
        </w:rPr>
      </w:pPr>
      <w:r>
        <w:rPr>
          <w:rFonts w:ascii="Times New Roman" w:hAnsi="Times New Roman"/>
          <w:color w:val="auto"/>
        </w:rPr>
        <w:t xml:space="preserve">Of the 14 hotels:- </w:t>
      </w:r>
      <w:bookmarkStart w:id="0" w:name="_GoBack"/>
      <w:bookmarkEnd w:id="0"/>
    </w:p>
    <w:p w:rsidR="007A0FB6" w:rsidRDefault="007A0FB6" w:rsidP="007A0FB6">
      <w:pPr>
        <w:numPr>
          <w:ilvl w:val="0"/>
          <w:numId w:val="2"/>
        </w:numPr>
        <w:rPr>
          <w:rFonts w:ascii="Calibri" w:eastAsia="Times New Roman" w:hAnsi="Calibri" w:hint="eastAsia"/>
          <w:color w:val="auto"/>
        </w:rPr>
      </w:pPr>
      <w:r>
        <w:rPr>
          <w:rFonts w:ascii="Times New Roman" w:eastAsia="Times New Roman" w:hAnsi="Times New Roman"/>
          <w:color w:val="auto"/>
        </w:rPr>
        <w:t>Nine (9) hotels saw higher occupancies this July compared to July 2016, with five (5) seeing a lower average room occupancy.</w:t>
      </w:r>
    </w:p>
    <w:p w:rsidR="007A0FB6" w:rsidRDefault="007A0FB6" w:rsidP="007A0FB6">
      <w:pPr>
        <w:numPr>
          <w:ilvl w:val="0"/>
          <w:numId w:val="2"/>
        </w:numPr>
        <w:rPr>
          <w:rFonts w:ascii="Calibri" w:eastAsia="Times New Roman" w:hAnsi="Calibri"/>
          <w:color w:val="auto"/>
        </w:rPr>
      </w:pPr>
      <w:r>
        <w:rPr>
          <w:rFonts w:ascii="Times New Roman" w:eastAsia="Times New Roman" w:hAnsi="Times New Roman"/>
          <w:color w:val="auto"/>
        </w:rPr>
        <w:t>Twelve (12) hotels saw a higher average daily rate compared to July 2016 with two (2) seeing a lower ADR.</w:t>
      </w:r>
    </w:p>
    <w:p w:rsidR="007A0FB6" w:rsidRDefault="007A0FB6" w:rsidP="007A0FB6">
      <w:pPr>
        <w:numPr>
          <w:ilvl w:val="0"/>
          <w:numId w:val="2"/>
        </w:numPr>
        <w:rPr>
          <w:rFonts w:ascii="Calibri" w:eastAsia="Times New Roman" w:hAnsi="Calibri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Eleven (11) hotels saw a higher </w:t>
      </w:r>
      <w:proofErr w:type="spellStart"/>
      <w:r>
        <w:rPr>
          <w:rFonts w:ascii="Times New Roman" w:eastAsia="Times New Roman" w:hAnsi="Times New Roman"/>
          <w:color w:val="auto"/>
        </w:rPr>
        <w:t>RevPar</w:t>
      </w:r>
      <w:proofErr w:type="spellEnd"/>
      <w:r>
        <w:rPr>
          <w:rFonts w:ascii="Times New Roman" w:eastAsia="Times New Roman" w:hAnsi="Times New Roman"/>
          <w:color w:val="auto"/>
        </w:rPr>
        <w:t xml:space="preserve"> in July 2017 than in July 2016 with three (3) seeing a lower </w:t>
      </w:r>
      <w:proofErr w:type="spellStart"/>
      <w:r>
        <w:rPr>
          <w:rFonts w:ascii="Times New Roman" w:eastAsia="Times New Roman" w:hAnsi="Times New Roman"/>
          <w:color w:val="auto"/>
        </w:rPr>
        <w:t>RevPar</w:t>
      </w:r>
      <w:proofErr w:type="spellEnd"/>
      <w:r>
        <w:rPr>
          <w:rFonts w:ascii="Times New Roman" w:eastAsia="Times New Roman" w:hAnsi="Times New Roman"/>
          <w:color w:val="auto"/>
        </w:rPr>
        <w:t>.</w:t>
      </w:r>
    </w:p>
    <w:p w:rsidR="007A0FB6" w:rsidRDefault="007A0FB6" w:rsidP="007A0FB6">
      <w:r>
        <w:rPr>
          <w:rFonts w:ascii="Times New Roman" w:hAnsi="Times New Roman"/>
          <w:color w:val="auto"/>
        </w:rPr>
        <w:t> </w:t>
      </w:r>
    </w:p>
    <w:p w:rsidR="007A0FB6" w:rsidRDefault="007A0FB6" w:rsidP="007A0FB6">
      <w:pPr>
        <w:rPr>
          <w:rFonts w:hint="eastAsia"/>
        </w:rPr>
      </w:pPr>
      <w:proofErr w:type="gramStart"/>
      <w:r>
        <w:rPr>
          <w:rFonts w:ascii="Times New Roman" w:hAnsi="Times New Roman"/>
          <w:b/>
          <w:bCs/>
          <w:color w:val="auto"/>
        </w:rPr>
        <w:t>Year to Date.</w:t>
      </w:r>
      <w:proofErr w:type="gramEnd"/>
    </w:p>
    <w:p w:rsidR="007A0FB6" w:rsidRDefault="007A0FB6" w:rsidP="007A0FB6">
      <w:pPr>
        <w:rPr>
          <w:rFonts w:hint="eastAsia"/>
        </w:rPr>
      </w:pPr>
      <w:r>
        <w:rPr>
          <w:rFonts w:ascii="Times New Roman" w:hAnsi="Times New Roman"/>
          <w:b/>
          <w:bCs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110"/>
        <w:gridCol w:w="1961"/>
        <w:gridCol w:w="1194"/>
        <w:gridCol w:w="774"/>
      </w:tblGrid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2017/2016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31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b/>
                <w:bCs/>
                <w:color w:val="auto"/>
              </w:rPr>
              <w:t>July 2017 YTD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change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Rooms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      4,634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   4,580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ARN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 981,225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971,060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ORN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 830,081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771,173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7.6%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occupancy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84.6%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79.4%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5.2%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points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ADR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$251.61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$243.40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3.4%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Rev Par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$212.85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$193.30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10.1%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Based on data from 14 properties.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7A0FB6" w:rsidRDefault="007A0FB6" w:rsidP="007A0FB6">
      <w:pPr>
        <w:pStyle w:val="NormalWeb"/>
        <w:jc w:val="both"/>
        <w:rPr>
          <w:rFonts w:hint="eastAsia"/>
        </w:rPr>
      </w:pPr>
      <w:r>
        <w:lastRenderedPageBreak/>
        <w:t xml:space="preserve">For the first seven months of 2017 average room occupancy was up by 5.2 percentage points from 79.4% in 2016 to 84.6% in 2017. The number of available room nights increased by 1.0%. The number of occupied room nights increased by 7.6% compared to the first seven months of 2016. ADR grew by 3.4% and </w:t>
      </w:r>
      <w:proofErr w:type="spellStart"/>
      <w:r>
        <w:t>RevPar</w:t>
      </w:r>
      <w:proofErr w:type="spellEnd"/>
      <w:r>
        <w:t xml:space="preserve"> grew by 10.1%.</w:t>
      </w:r>
    </w:p>
    <w:p w:rsidR="007A0FB6" w:rsidRDefault="007A0FB6" w:rsidP="007A0FB6">
      <w:proofErr w:type="gramStart"/>
      <w:r>
        <w:rPr>
          <w:rFonts w:ascii="Times New Roman" w:hAnsi="Times New Roman"/>
          <w:b/>
          <w:bCs/>
          <w:color w:val="auto"/>
        </w:rPr>
        <w:t>Comparing 2017 with 2015.</w:t>
      </w:r>
      <w:proofErr w:type="gramEnd"/>
    </w:p>
    <w:p w:rsidR="007A0FB6" w:rsidRDefault="007A0FB6" w:rsidP="007A0FB6">
      <w:pPr>
        <w:rPr>
          <w:rFonts w:hint="eastAsia"/>
        </w:rPr>
      </w:pPr>
      <w:r>
        <w:rPr>
          <w:rFonts w:ascii="Times New Roman" w:hAnsi="Times New Roman"/>
          <w:b/>
          <w:bCs/>
          <w:color w:val="auto"/>
        </w:rPr>
        <w:t> </w:t>
      </w:r>
    </w:p>
    <w:p w:rsidR="007A0FB6" w:rsidRDefault="007A0FB6" w:rsidP="007A0FB6">
      <w:pPr>
        <w:rPr>
          <w:rFonts w:hint="eastAsia"/>
        </w:rPr>
      </w:pPr>
      <w:r>
        <w:rPr>
          <w:rFonts w:ascii="Times New Roman" w:hAnsi="Times New Roman"/>
          <w:b/>
          <w:bCs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964"/>
        <w:gridCol w:w="964"/>
        <w:gridCol w:w="941"/>
        <w:gridCol w:w="1194"/>
      </w:tblGrid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July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change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2015/2017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occupancy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81.0%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84.0%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86.8%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5.8%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ADR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$213.90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$203.67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$209.72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-2.0%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proofErr w:type="spellStart"/>
            <w:r>
              <w:rPr>
                <w:rFonts w:ascii="Calibri" w:hAnsi="Calibri"/>
                <w:color w:val="auto"/>
                <w:sz w:val="22"/>
                <w:szCs w:val="22"/>
              </w:rPr>
              <w:t>RevPar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$173.31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$170.99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$182.00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5.0%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Based on data from 14 properties.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July YTD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change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2015/2017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occupancy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79.6%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79.4%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84.6%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5.0%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ADR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$251.78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$243.40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$251.61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-0.1%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proofErr w:type="spellStart"/>
            <w:r>
              <w:rPr>
                <w:rFonts w:ascii="Calibri" w:hAnsi="Calibri"/>
                <w:color w:val="auto"/>
                <w:sz w:val="22"/>
                <w:szCs w:val="22"/>
              </w:rPr>
              <w:t>RevPar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$200.53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$193.30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$212.85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6.1%</w:t>
            </w:r>
          </w:p>
        </w:tc>
      </w:tr>
      <w:tr w:rsidR="007A0FB6" w:rsidTr="007A0FB6">
        <w:trPr>
          <w:trHeight w:val="290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spacing w:line="276" w:lineRule="auto"/>
            </w:pPr>
            <w:r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Based on data from 14 properties.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FB6" w:rsidRDefault="007A0FB6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466647" w:rsidRDefault="00466647"/>
    <w:sectPr w:rsidR="00466647" w:rsidSect="007A0FB6">
      <w:head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B4" w:rsidRDefault="003564B4" w:rsidP="007A0FB6">
      <w:r>
        <w:separator/>
      </w:r>
    </w:p>
  </w:endnote>
  <w:endnote w:type="continuationSeparator" w:id="0">
    <w:p w:rsidR="003564B4" w:rsidRDefault="003564B4" w:rsidP="007A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B4" w:rsidRDefault="003564B4" w:rsidP="007A0FB6">
      <w:r>
        <w:separator/>
      </w:r>
    </w:p>
  </w:footnote>
  <w:footnote w:type="continuationSeparator" w:id="0">
    <w:p w:rsidR="003564B4" w:rsidRDefault="003564B4" w:rsidP="007A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B6" w:rsidRPr="007A0FB6" w:rsidRDefault="007A0FB6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Aruba’s</w:t>
    </w:r>
    <w:r w:rsidRPr="007A0FB6">
      <w:rPr>
        <w:rFonts w:asciiTheme="minorHAnsi" w:hAnsiTheme="minorHAnsi"/>
      </w:rPr>
      <w:t xml:space="preserve"> Preliminary Monthly Performance Numbers - July 2017 and YTD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22C"/>
    <w:multiLevelType w:val="multilevel"/>
    <w:tmpl w:val="1442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0411B1"/>
    <w:multiLevelType w:val="multilevel"/>
    <w:tmpl w:val="AAC4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B6"/>
    <w:rsid w:val="003564B4"/>
    <w:rsid w:val="00466647"/>
    <w:rsid w:val="007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B6"/>
    <w:pPr>
      <w:spacing w:after="0" w:line="240" w:lineRule="auto"/>
    </w:pPr>
    <w:rPr>
      <w:rFonts w:ascii="PMingLiU" w:eastAsia="PMingLiU" w:hAnsi="PMingLiU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FB6"/>
    <w:pPr>
      <w:spacing w:before="100" w:beforeAutospacing="1" w:after="100" w:afterAutospacing="1"/>
    </w:pPr>
    <w:rPr>
      <w:rFonts w:ascii="Times New Roman" w:eastAsiaTheme="minorHAnsi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7A0FB6"/>
    <w:pPr>
      <w:ind w:left="720"/>
    </w:pPr>
    <w:rPr>
      <w:rFonts w:ascii="Calibri" w:eastAsiaTheme="minorHAnsi" w:hAnsi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0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FB6"/>
    <w:rPr>
      <w:rFonts w:ascii="PMingLiU" w:eastAsia="PMingLiU" w:hAnsi="PMingLiU" w:cs="Times New Roman"/>
      <w:color w:val="00357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FB6"/>
    <w:rPr>
      <w:rFonts w:ascii="PMingLiU" w:eastAsia="PMingLiU" w:hAnsi="PMingLiU" w:cs="Times New Roman"/>
      <w:color w:val="00357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B6"/>
    <w:pPr>
      <w:spacing w:after="0" w:line="240" w:lineRule="auto"/>
    </w:pPr>
    <w:rPr>
      <w:rFonts w:ascii="PMingLiU" w:eastAsia="PMingLiU" w:hAnsi="PMingLiU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FB6"/>
    <w:pPr>
      <w:spacing w:before="100" w:beforeAutospacing="1" w:after="100" w:afterAutospacing="1"/>
    </w:pPr>
    <w:rPr>
      <w:rFonts w:ascii="Times New Roman" w:eastAsiaTheme="minorHAnsi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7A0FB6"/>
    <w:pPr>
      <w:ind w:left="720"/>
    </w:pPr>
    <w:rPr>
      <w:rFonts w:ascii="Calibri" w:eastAsiaTheme="minorHAnsi" w:hAnsi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0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FB6"/>
    <w:rPr>
      <w:rFonts w:ascii="PMingLiU" w:eastAsia="PMingLiU" w:hAnsi="PMingLiU" w:cs="Times New Roman"/>
      <w:color w:val="00357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FB6"/>
    <w:rPr>
      <w:rFonts w:ascii="PMingLiU" w:eastAsia="PMingLiU" w:hAnsi="PMingLiU" w:cs="Times New Roman"/>
      <w:color w:val="00357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Doria-Simpson</dc:creator>
  <cp:lastModifiedBy>Gabi Doria-Simpson</cp:lastModifiedBy>
  <cp:revision>1</cp:revision>
  <dcterms:created xsi:type="dcterms:W3CDTF">2017-08-11T03:41:00Z</dcterms:created>
  <dcterms:modified xsi:type="dcterms:W3CDTF">2017-08-11T03:46:00Z</dcterms:modified>
</cp:coreProperties>
</file>