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C4" w:rsidRDefault="00F77AC4" w:rsidP="00F77AC4">
      <w:pPr>
        <w:spacing w:before="100" w:beforeAutospacing="1" w:after="100" w:afterAutospacing="1"/>
      </w:pPr>
      <w:r>
        <w:rPr>
          <w:rFonts w:ascii="Georgia" w:hAnsi="Georgia"/>
          <w:color w:val="auto"/>
        </w:rPr>
        <w:t xml:space="preserve">The following are the preliminary March 2018 hotel performance figures for Aruba derived from the reports submitted to AHATA. </w:t>
      </w:r>
    </w:p>
    <w:p w:rsidR="00F77AC4" w:rsidRDefault="00F77AC4" w:rsidP="00F77AC4">
      <w:pPr>
        <w:spacing w:after="240"/>
      </w:pPr>
      <w:r>
        <w:rPr>
          <w:rFonts w:ascii="Georgia" w:hAnsi="Georgia"/>
          <w:color w:val="auto"/>
        </w:rPr>
        <w:t>The numbers are the aggregate figures for 14 properties including all the major hotels (except for the Hilton Aruba).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2011"/>
        <w:gridCol w:w="2035"/>
        <w:gridCol w:w="1194"/>
        <w:gridCol w:w="774"/>
      </w:tblGrid>
      <w:tr w:rsidR="00F77AC4" w:rsidTr="00F77AC4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2018/2017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F77AC4" w:rsidTr="00F77AC4">
        <w:trPr>
          <w:trHeight w:val="31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</w:pPr>
            <w:r>
              <w:rPr>
                <w:rFonts w:ascii="Calibri" w:hAnsi="Calibri"/>
                <w:b/>
                <w:bCs/>
                <w:color w:val="auto"/>
              </w:rPr>
              <w:t>March 2018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2018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2017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% change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F77AC4" w:rsidTr="00F77AC4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Rooms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                          4,572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                          4,580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-0.2%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F77AC4" w:rsidTr="00F77AC4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ARN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                     141,732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                      141,980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-0.2%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F77AC4" w:rsidTr="00F77AC4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ORN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                     125,155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                      121,324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3.2%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F77AC4" w:rsidTr="00F77AC4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% occupancy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right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88.3%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right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85.5%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2.8%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points</w:t>
            </w:r>
          </w:p>
        </w:tc>
      </w:tr>
      <w:tr w:rsidR="00F77AC4" w:rsidTr="00F77AC4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ADR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right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$328.95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right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$288.24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14.1%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F77AC4" w:rsidTr="00F77AC4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Rev Par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right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$290.48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right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$246.31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17.9%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F77AC4" w:rsidTr="00F77AC4">
        <w:trPr>
          <w:trHeight w:val="290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</w:pPr>
            <w:r>
              <w:rPr>
                <w:rFonts w:ascii="Calibri" w:hAnsi="Calibri"/>
                <w:b/>
                <w:bCs/>
                <w:i/>
                <w:iCs/>
                <w:color w:val="auto"/>
                <w:sz w:val="22"/>
                <w:szCs w:val="22"/>
              </w:rPr>
              <w:t>Based on data from 14 properties.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</w:tbl>
    <w:p w:rsidR="00F77AC4" w:rsidRDefault="00F77AC4" w:rsidP="00F77AC4">
      <w:pPr>
        <w:spacing w:before="100" w:beforeAutospacing="1" w:after="100" w:afterAutospacing="1"/>
      </w:pPr>
      <w:r>
        <w:rPr>
          <w:rFonts w:ascii="Georgia" w:hAnsi="Georgia"/>
          <w:color w:val="auto"/>
        </w:rPr>
        <w:t xml:space="preserve">In summary: -  </w:t>
      </w:r>
    </w:p>
    <w:p w:rsidR="00F77AC4" w:rsidRDefault="00F77AC4" w:rsidP="00F77AC4">
      <w:pPr>
        <w:numPr>
          <w:ilvl w:val="0"/>
          <w:numId w:val="1"/>
        </w:numPr>
        <w:rPr>
          <w:rFonts w:ascii="Calibri" w:eastAsia="Times New Roman" w:hAnsi="Calibri"/>
          <w:color w:val="auto"/>
        </w:rPr>
      </w:pPr>
      <w:r>
        <w:rPr>
          <w:rFonts w:ascii="Georgia" w:eastAsia="Times New Roman" w:hAnsi="Georgia"/>
          <w:color w:val="auto"/>
        </w:rPr>
        <w:t xml:space="preserve">Average room occupancy was up by 2.8 percentage points from 85.5% in March 2017 to 88.3% in March 2018. </w:t>
      </w:r>
    </w:p>
    <w:p w:rsidR="00F77AC4" w:rsidRDefault="00F77AC4" w:rsidP="00F77AC4">
      <w:pPr>
        <w:numPr>
          <w:ilvl w:val="0"/>
          <w:numId w:val="1"/>
        </w:numPr>
        <w:rPr>
          <w:rFonts w:ascii="Calibri" w:eastAsia="Times New Roman" w:hAnsi="Calibri"/>
          <w:color w:val="auto"/>
        </w:rPr>
      </w:pPr>
      <w:r>
        <w:rPr>
          <w:rFonts w:ascii="Georgia" w:eastAsia="Times New Roman" w:hAnsi="Georgia"/>
          <w:color w:val="auto"/>
        </w:rPr>
        <w:t>The overall number of available room nights decreased by 0.2%. This was largely due to the reduction in transient room inventory at the Tropicana Aruba Resort &amp; Casino.</w:t>
      </w:r>
    </w:p>
    <w:p w:rsidR="00F77AC4" w:rsidRDefault="00F77AC4" w:rsidP="00F77AC4">
      <w:pPr>
        <w:numPr>
          <w:ilvl w:val="0"/>
          <w:numId w:val="1"/>
        </w:numPr>
        <w:rPr>
          <w:rFonts w:ascii="Calibri" w:eastAsia="Times New Roman" w:hAnsi="Calibri"/>
          <w:color w:val="auto"/>
        </w:rPr>
      </w:pPr>
      <w:r>
        <w:rPr>
          <w:rFonts w:ascii="Georgia" w:eastAsia="Times New Roman" w:hAnsi="Georgia"/>
          <w:color w:val="auto"/>
        </w:rPr>
        <w:t>The total number of occupied room nights increased by 3.2%.</w:t>
      </w:r>
    </w:p>
    <w:p w:rsidR="00F77AC4" w:rsidRDefault="00F77AC4" w:rsidP="00F77AC4">
      <w:pPr>
        <w:numPr>
          <w:ilvl w:val="0"/>
          <w:numId w:val="1"/>
        </w:numPr>
        <w:rPr>
          <w:rFonts w:ascii="Calibri" w:eastAsia="Times New Roman" w:hAnsi="Calibri"/>
          <w:color w:val="auto"/>
        </w:rPr>
      </w:pPr>
      <w:r>
        <w:rPr>
          <w:rFonts w:ascii="Georgia" w:eastAsia="Times New Roman" w:hAnsi="Georgia"/>
          <w:color w:val="auto"/>
        </w:rPr>
        <w:t>The overall ADR grew by 14.1% from $288.24 in March 2017 to $328.95 in March 2018.</w:t>
      </w:r>
    </w:p>
    <w:p w:rsidR="00F77AC4" w:rsidRDefault="00F77AC4" w:rsidP="00F77AC4">
      <w:pPr>
        <w:numPr>
          <w:ilvl w:val="0"/>
          <w:numId w:val="1"/>
        </w:numPr>
        <w:rPr>
          <w:rFonts w:ascii="Calibri" w:eastAsia="Times New Roman" w:hAnsi="Calibri"/>
          <w:color w:val="auto"/>
        </w:rPr>
      </w:pPr>
      <w:r>
        <w:rPr>
          <w:rFonts w:ascii="Georgia" w:eastAsia="Times New Roman" w:hAnsi="Georgia"/>
          <w:color w:val="auto"/>
        </w:rPr>
        <w:t xml:space="preserve">With the higher average occupancies and higher ADRs RevPar increased by 17.9% from $246.31 in March 2017 to $290.48 in March 2018. </w:t>
      </w:r>
    </w:p>
    <w:p w:rsidR="00F77AC4" w:rsidRDefault="00F77AC4" w:rsidP="00F77AC4">
      <w:pPr>
        <w:pStyle w:val="ListParagraph"/>
      </w:pPr>
      <w:r>
        <w:rPr>
          <w:rFonts w:ascii="Georgia" w:hAnsi="Georgia"/>
          <w:color w:val="auto"/>
        </w:rPr>
        <w:t> </w:t>
      </w:r>
    </w:p>
    <w:p w:rsidR="00F77AC4" w:rsidRDefault="00F77AC4" w:rsidP="00F77AC4">
      <w:pPr>
        <w:ind w:left="360"/>
      </w:pPr>
      <w:r>
        <w:rPr>
          <w:rFonts w:ascii="Georgia" w:hAnsi="Georgia"/>
          <w:color w:val="auto"/>
        </w:rPr>
        <w:t xml:space="preserve">Of the 14 hotels: - </w:t>
      </w:r>
    </w:p>
    <w:p w:rsidR="00F77AC4" w:rsidRDefault="00F77AC4" w:rsidP="00F77AC4">
      <w:r>
        <w:rPr>
          <w:rFonts w:ascii="Georgia" w:hAnsi="Georgia"/>
          <w:color w:val="auto"/>
        </w:rPr>
        <w:t> </w:t>
      </w:r>
    </w:p>
    <w:p w:rsidR="00F77AC4" w:rsidRDefault="00F77AC4" w:rsidP="00F77AC4">
      <w:pPr>
        <w:numPr>
          <w:ilvl w:val="0"/>
          <w:numId w:val="2"/>
        </w:numPr>
        <w:rPr>
          <w:rFonts w:ascii="Calibri" w:eastAsia="Times New Roman" w:hAnsi="Calibri"/>
          <w:color w:val="auto"/>
        </w:rPr>
      </w:pPr>
      <w:r>
        <w:rPr>
          <w:rFonts w:ascii="Georgia" w:eastAsia="Times New Roman" w:hAnsi="Georgia"/>
          <w:color w:val="auto"/>
        </w:rPr>
        <w:t>Ten (10) hotels saw higher occupancies this March compared to March 2017, with four (4) seeing a lower average room occupancy.</w:t>
      </w:r>
    </w:p>
    <w:p w:rsidR="00F77AC4" w:rsidRDefault="00F77AC4" w:rsidP="00F77AC4">
      <w:pPr>
        <w:numPr>
          <w:ilvl w:val="0"/>
          <w:numId w:val="2"/>
        </w:numPr>
        <w:rPr>
          <w:rFonts w:ascii="Calibri" w:eastAsia="Times New Roman" w:hAnsi="Calibri"/>
          <w:color w:val="auto"/>
        </w:rPr>
      </w:pPr>
      <w:r>
        <w:rPr>
          <w:rFonts w:ascii="Georgia" w:eastAsia="Times New Roman" w:hAnsi="Georgia"/>
          <w:color w:val="auto"/>
        </w:rPr>
        <w:t>Thirteen (13) hotels saw a higher average daily rate compared to March 2017 with one (1) seeing a lower ADR.</w:t>
      </w:r>
    </w:p>
    <w:p w:rsidR="00F77AC4" w:rsidRDefault="00F77AC4" w:rsidP="00F77AC4">
      <w:pPr>
        <w:numPr>
          <w:ilvl w:val="0"/>
          <w:numId w:val="2"/>
        </w:numPr>
        <w:rPr>
          <w:rFonts w:ascii="Calibri" w:eastAsia="Times New Roman" w:hAnsi="Calibri"/>
          <w:color w:val="auto"/>
        </w:rPr>
      </w:pPr>
      <w:r>
        <w:rPr>
          <w:rFonts w:ascii="Georgia" w:eastAsia="Times New Roman" w:hAnsi="Georgia"/>
          <w:color w:val="auto"/>
        </w:rPr>
        <w:t>Thirteen (13) hotels saw a higher RevPar in March 2018 than in March 2017 with one (1) seeing a lower RevPar.</w:t>
      </w:r>
    </w:p>
    <w:p w:rsidR="00F77AC4" w:rsidRDefault="00F77AC4" w:rsidP="00F77AC4">
      <w:r>
        <w:rPr>
          <w:rFonts w:ascii="Georgia" w:hAnsi="Georgia"/>
          <w:color w:val="auto"/>
        </w:rPr>
        <w:t> </w:t>
      </w:r>
    </w:p>
    <w:p w:rsidR="00F77AC4" w:rsidRDefault="00F77AC4" w:rsidP="00F77AC4">
      <w:proofErr w:type="gramStart"/>
      <w:r>
        <w:rPr>
          <w:rFonts w:ascii="Times New Roman" w:hAnsi="Times New Roman"/>
          <w:b/>
          <w:bCs/>
          <w:color w:val="auto"/>
        </w:rPr>
        <w:t>Year to Date.</w:t>
      </w:r>
      <w:proofErr w:type="gramEnd"/>
    </w:p>
    <w:p w:rsidR="00F77AC4" w:rsidRDefault="00F77AC4" w:rsidP="00F77AC4">
      <w:r>
        <w:rPr>
          <w:rFonts w:ascii="Times New Roman" w:hAnsi="Times New Roman"/>
          <w:b/>
          <w:bCs/>
          <w:color w:val="auto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2011"/>
        <w:gridCol w:w="2035"/>
        <w:gridCol w:w="1194"/>
        <w:gridCol w:w="774"/>
      </w:tblGrid>
      <w:tr w:rsidR="00F77AC4" w:rsidTr="00F77AC4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2018/2017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F77AC4" w:rsidTr="00F77AC4">
        <w:trPr>
          <w:trHeight w:val="31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</w:pPr>
            <w:r>
              <w:rPr>
                <w:rFonts w:ascii="Calibri" w:hAnsi="Calibri"/>
                <w:b/>
                <w:bCs/>
                <w:color w:val="auto"/>
              </w:rPr>
              <w:t>March 2018 YTD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2018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2017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% change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F77AC4" w:rsidTr="00F77AC4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Rooms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                          4,572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                          4,580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-0.2%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F77AC4" w:rsidTr="00F77AC4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ARN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                     410,578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                      411,762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-0.3%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F77AC4" w:rsidTr="00F77AC4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ORN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                     370,369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                      356,148 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4.0%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F77AC4" w:rsidTr="00F77AC4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lastRenderedPageBreak/>
              <w:t>% occupancy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right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90.2%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right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86.5%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3.7%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points</w:t>
            </w:r>
          </w:p>
        </w:tc>
      </w:tr>
      <w:tr w:rsidR="00F77AC4" w:rsidTr="00F77AC4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ADR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right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$333.40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right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$300.72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10.9%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F77AC4" w:rsidTr="00F77AC4">
        <w:trPr>
          <w:trHeight w:val="29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Rev Par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right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$300.75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right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$260.10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15.6%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F77AC4" w:rsidTr="00F77AC4">
        <w:trPr>
          <w:trHeight w:val="290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</w:pPr>
            <w:r>
              <w:rPr>
                <w:rFonts w:ascii="Calibri" w:hAnsi="Calibri"/>
                <w:b/>
                <w:bCs/>
                <w:i/>
                <w:iCs/>
                <w:color w:val="auto"/>
                <w:sz w:val="22"/>
                <w:szCs w:val="22"/>
              </w:rPr>
              <w:t>Based on data from 14 properties.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</w:tbl>
    <w:p w:rsidR="00F77AC4" w:rsidRDefault="00F77AC4" w:rsidP="00F77AC4">
      <w:pPr>
        <w:pStyle w:val="NormalWeb"/>
        <w:jc w:val="both"/>
      </w:pPr>
      <w:r>
        <w:rPr>
          <w:rFonts w:ascii="Georgia" w:hAnsi="Georgia"/>
        </w:rPr>
        <w:t>For the first three months of 2018 average room occupancy was up by 3.7 percentage points from 86.5% in 2017 to 90.2% in 2018. The number of available room nights decreased by 0.3%. The number of occupied room nights increased by 4.0% compared to the first three months of 2017. ADR grew by 10.9% and RevPar grew by 15.6%.</w:t>
      </w:r>
    </w:p>
    <w:p w:rsidR="00F77AC4" w:rsidRDefault="00F77AC4" w:rsidP="00F77AC4">
      <w:r>
        <w:rPr>
          <w:rFonts w:ascii="Georgia" w:hAnsi="Georgia"/>
          <w:b/>
          <w:bCs/>
          <w:color w:val="auto"/>
        </w:rPr>
        <w:t>By Month</w:t>
      </w:r>
    </w:p>
    <w:p w:rsidR="00F77AC4" w:rsidRDefault="00F77AC4" w:rsidP="00F77AC4">
      <w:r>
        <w:rPr>
          <w:rFonts w:ascii="Georgia" w:hAnsi="Georgia"/>
          <w:b/>
          <w:bCs/>
          <w:color w:val="auto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764"/>
        <w:gridCol w:w="764"/>
        <w:gridCol w:w="1090"/>
        <w:gridCol w:w="941"/>
        <w:gridCol w:w="941"/>
        <w:gridCol w:w="1090"/>
        <w:gridCol w:w="941"/>
        <w:gridCol w:w="941"/>
        <w:gridCol w:w="1090"/>
      </w:tblGrid>
      <w:tr w:rsidR="00F77AC4" w:rsidTr="00F77AC4">
        <w:trPr>
          <w:trHeight w:val="2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jc w:val="center"/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Avg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Occupancy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RevPar</w:t>
            </w:r>
          </w:p>
        </w:tc>
      </w:tr>
      <w:tr w:rsidR="00F77AC4" w:rsidTr="00F77AC4">
        <w:trPr>
          <w:trHeight w:val="2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%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chng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%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chng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%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chng</w:t>
            </w:r>
            <w:proofErr w:type="spellEnd"/>
          </w:p>
        </w:tc>
      </w:tr>
      <w:tr w:rsidR="00F77AC4" w:rsidTr="00F77AC4"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r>
              <w:rPr>
                <w:rFonts w:ascii="Calibri" w:hAnsi="Calibri"/>
                <w:color w:val="000000"/>
                <w:sz w:val="22"/>
                <w:szCs w:val="22"/>
              </w:rPr>
              <w:t>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$332.11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$301.69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$296.92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$256.42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15.8%</w:t>
            </w:r>
          </w:p>
        </w:tc>
      </w:tr>
      <w:tr w:rsidR="00F77AC4" w:rsidTr="00F77AC4"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r>
              <w:rPr>
                <w:rFonts w:ascii="Calibri" w:hAnsi="Calibri"/>
                <w:color w:val="000000"/>
                <w:sz w:val="22"/>
                <w:szCs w:val="22"/>
              </w:rPr>
              <w:t>Feb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93.2%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89.3%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$339.71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$312.96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$316.77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$279.56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13.3%</w:t>
            </w:r>
          </w:p>
        </w:tc>
      </w:tr>
      <w:tr w:rsidR="00F77AC4" w:rsidTr="00F77AC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r>
              <w:rPr>
                <w:rFonts w:ascii="Calibri" w:hAnsi="Calibri"/>
                <w:color w:val="000000"/>
                <w:sz w:val="22"/>
                <w:szCs w:val="22"/>
              </w:rPr>
              <w:t>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$328.95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$288.24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$290.48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$246.31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17.9%</w:t>
            </w:r>
          </w:p>
        </w:tc>
      </w:tr>
      <w:tr w:rsidR="00F77AC4" w:rsidTr="00F77AC4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r>
              <w:rPr>
                <w:rFonts w:ascii="Calibri" w:hAnsi="Calibri"/>
                <w:color w:val="000000"/>
                <w:sz w:val="22"/>
                <w:szCs w:val="22"/>
              </w:rPr>
              <w:t>YTD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90.2%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86.5%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3.7%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$333.40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$300.72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10.9%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$300.75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$260.10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15.6%</w:t>
            </w:r>
          </w:p>
        </w:tc>
      </w:tr>
    </w:tbl>
    <w:p w:rsidR="00F77AC4" w:rsidRDefault="00F77AC4" w:rsidP="00F77AC4">
      <w:r>
        <w:rPr>
          <w:rFonts w:ascii="Georgia" w:hAnsi="Georgia"/>
          <w:b/>
          <w:bCs/>
          <w:color w:val="auto"/>
        </w:rPr>
        <w:t> </w:t>
      </w:r>
    </w:p>
    <w:p w:rsidR="00F77AC4" w:rsidRDefault="00F77AC4" w:rsidP="00F77AC4">
      <w:r>
        <w:rPr>
          <w:rFonts w:ascii="Georgia" w:hAnsi="Georgia"/>
          <w:b/>
          <w:bCs/>
          <w:color w:val="auto"/>
        </w:rPr>
        <w:t> </w:t>
      </w:r>
    </w:p>
    <w:p w:rsidR="00F77AC4" w:rsidRDefault="00F77AC4" w:rsidP="00F77AC4">
      <w:r>
        <w:rPr>
          <w:rFonts w:ascii="Georgia" w:hAnsi="Georgia"/>
          <w:b/>
          <w:bCs/>
          <w:color w:val="auto"/>
        </w:rPr>
        <w:t>Cruise Traffic</w:t>
      </w:r>
    </w:p>
    <w:p w:rsidR="00F77AC4" w:rsidRDefault="00F77AC4" w:rsidP="00F77AC4">
      <w:r>
        <w:rPr>
          <w:rFonts w:ascii="Georgia" w:hAnsi="Georgia"/>
          <w:b/>
          <w:bCs/>
          <w:color w:val="auto"/>
        </w:rPr>
        <w:t> </w:t>
      </w:r>
    </w:p>
    <w:tbl>
      <w:tblPr>
        <w:tblW w:w="8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628"/>
        <w:gridCol w:w="1788"/>
        <w:gridCol w:w="628"/>
        <w:gridCol w:w="1645"/>
        <w:gridCol w:w="825"/>
        <w:gridCol w:w="1459"/>
      </w:tblGrid>
      <w:tr w:rsidR="00F77AC4" w:rsidTr="00F77AC4">
        <w:trPr>
          <w:trHeight w:val="370"/>
        </w:trPr>
        <w:tc>
          <w:tcPr>
            <w:tcW w:w="8160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  <w:color w:val="auto"/>
                <w:sz w:val="28"/>
                <w:szCs w:val="28"/>
              </w:rPr>
              <w:t>Cruise Visitors: Aruba 2018</w:t>
            </w:r>
          </w:p>
        </w:tc>
      </w:tr>
      <w:tr w:rsidR="00F77AC4" w:rsidTr="00F77AC4">
        <w:trPr>
          <w:trHeight w:val="290"/>
        </w:trPr>
        <w:tc>
          <w:tcPr>
            <w:tcW w:w="11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2018</w:t>
            </w:r>
          </w:p>
        </w:tc>
        <w:tc>
          <w:tcPr>
            <w:tcW w:w="22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2017</w:t>
            </w:r>
          </w:p>
        </w:tc>
        <w:tc>
          <w:tcPr>
            <w:tcW w:w="2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Per cent change</w:t>
            </w:r>
          </w:p>
        </w:tc>
      </w:tr>
      <w:tr w:rsidR="00F77AC4" w:rsidTr="00F77AC4">
        <w:trPr>
          <w:trHeight w:val="290"/>
        </w:trPr>
        <w:tc>
          <w:tcPr>
            <w:tcW w:w="11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Calls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Passengers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Calls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Passengers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Calls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Passengers</w:t>
            </w:r>
          </w:p>
        </w:tc>
      </w:tr>
      <w:tr w:rsidR="00F77AC4" w:rsidTr="00F77AC4">
        <w:trPr>
          <w:trHeight w:val="290"/>
        </w:trPr>
        <w:tc>
          <w:tcPr>
            <w:tcW w:w="11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January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53</w:t>
            </w:r>
          </w:p>
        </w:tc>
        <w:tc>
          <w:tcPr>
            <w:tcW w:w="178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          108,298 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44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          89,734 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20.5%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20.7%</w:t>
            </w:r>
          </w:p>
        </w:tc>
      </w:tr>
      <w:tr w:rsidR="00F77AC4" w:rsidTr="00F77AC4">
        <w:trPr>
          <w:trHeight w:val="290"/>
        </w:trPr>
        <w:tc>
          <w:tcPr>
            <w:tcW w:w="11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February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41</w:t>
            </w:r>
          </w:p>
        </w:tc>
        <w:tc>
          <w:tcPr>
            <w:tcW w:w="178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            99,303 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38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          91,420 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7.9%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8.6%</w:t>
            </w:r>
          </w:p>
        </w:tc>
      </w:tr>
      <w:tr w:rsidR="00F77AC4" w:rsidTr="00F77AC4">
        <w:trPr>
          <w:trHeight w:val="300"/>
        </w:trPr>
        <w:tc>
          <w:tcPr>
            <w:tcW w:w="11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March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40</w:t>
            </w:r>
          </w:p>
        </w:tc>
        <w:tc>
          <w:tcPr>
            <w:tcW w:w="178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          101,237 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41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          99,769 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-2.4%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1.5%</w:t>
            </w:r>
          </w:p>
        </w:tc>
      </w:tr>
      <w:tr w:rsidR="00F77AC4" w:rsidTr="00F77AC4">
        <w:trPr>
          <w:trHeight w:val="300"/>
        </w:trPr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YTD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134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          308,838 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123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        280,923 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8.9%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  <w:jc w:val="center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9.9%</w:t>
            </w:r>
          </w:p>
        </w:tc>
      </w:tr>
      <w:tr w:rsidR="00F77AC4" w:rsidTr="00F77AC4">
        <w:trPr>
          <w:trHeight w:val="290"/>
        </w:trPr>
        <w:tc>
          <w:tcPr>
            <w:tcW w:w="3603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spacing w:line="276" w:lineRule="auto"/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Source: Aruba Port Authority.</w:t>
            </w:r>
          </w:p>
        </w:tc>
        <w:tc>
          <w:tcPr>
            <w:tcW w:w="6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AC4" w:rsidRDefault="00F77AC4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</w:tbl>
    <w:p w:rsidR="00244FEE" w:rsidRDefault="00244FEE"/>
    <w:sectPr w:rsidR="00244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5D6" w:rsidRDefault="008715D6" w:rsidP="00F77AC4">
      <w:r>
        <w:separator/>
      </w:r>
    </w:p>
  </w:endnote>
  <w:endnote w:type="continuationSeparator" w:id="0">
    <w:p w:rsidR="008715D6" w:rsidRDefault="008715D6" w:rsidP="00F7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AC4" w:rsidRDefault="00F77A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AC4" w:rsidRDefault="00F77A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AC4" w:rsidRDefault="00F77A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5D6" w:rsidRDefault="008715D6" w:rsidP="00F77AC4">
      <w:r>
        <w:separator/>
      </w:r>
    </w:p>
  </w:footnote>
  <w:footnote w:type="continuationSeparator" w:id="0">
    <w:p w:rsidR="008715D6" w:rsidRDefault="008715D6" w:rsidP="00F77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AC4" w:rsidRDefault="00F77A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AC4" w:rsidRDefault="00F77AC4" w:rsidP="00F77AC4">
    <w:pPr>
      <w:pStyle w:val="Header"/>
      <w:jc w:val="center"/>
    </w:pPr>
    <w:r>
      <w:t>ARUBA HOTEL PERFORMANCE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AC4" w:rsidRDefault="00F77A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770E"/>
    <w:multiLevelType w:val="multilevel"/>
    <w:tmpl w:val="71EE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4C22BA"/>
    <w:multiLevelType w:val="multilevel"/>
    <w:tmpl w:val="DF72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C4"/>
    <w:rsid w:val="00244FEE"/>
    <w:rsid w:val="008715D6"/>
    <w:rsid w:val="00F7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AC4"/>
    <w:pPr>
      <w:spacing w:after="0" w:line="240" w:lineRule="auto"/>
    </w:pPr>
    <w:rPr>
      <w:rFonts w:ascii="Verdana" w:hAnsi="Verdana" w:cs="Times New Roman"/>
      <w:color w:val="00357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AC4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styleId="ListParagraph">
    <w:name w:val="List Paragraph"/>
    <w:basedOn w:val="Normal"/>
    <w:uiPriority w:val="34"/>
    <w:qFormat/>
    <w:rsid w:val="00F77AC4"/>
    <w:pPr>
      <w:ind w:left="720"/>
    </w:pPr>
    <w:rPr>
      <w:rFonts w:ascii="Calibri" w:hAnsi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77A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AC4"/>
    <w:rPr>
      <w:rFonts w:ascii="Verdana" w:hAnsi="Verdana" w:cs="Times New Roman"/>
      <w:color w:val="00357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7A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AC4"/>
    <w:rPr>
      <w:rFonts w:ascii="Verdana" w:hAnsi="Verdana" w:cs="Times New Roman"/>
      <w:color w:val="00357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AC4"/>
    <w:pPr>
      <w:spacing w:after="0" w:line="240" w:lineRule="auto"/>
    </w:pPr>
    <w:rPr>
      <w:rFonts w:ascii="Verdana" w:hAnsi="Verdana" w:cs="Times New Roman"/>
      <w:color w:val="00357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AC4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styleId="ListParagraph">
    <w:name w:val="List Paragraph"/>
    <w:basedOn w:val="Normal"/>
    <w:uiPriority w:val="34"/>
    <w:qFormat/>
    <w:rsid w:val="00F77AC4"/>
    <w:pPr>
      <w:ind w:left="720"/>
    </w:pPr>
    <w:rPr>
      <w:rFonts w:ascii="Calibri" w:hAnsi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77A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AC4"/>
    <w:rPr>
      <w:rFonts w:ascii="Verdana" w:hAnsi="Verdana" w:cs="Times New Roman"/>
      <w:color w:val="00357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7A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AC4"/>
    <w:rPr>
      <w:rFonts w:ascii="Verdana" w:hAnsi="Verdana" w:cs="Times New Roman"/>
      <w:color w:val="00357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3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Doria-Simpson</dc:creator>
  <cp:lastModifiedBy>Gabi Doria-Simpson</cp:lastModifiedBy>
  <cp:revision>1</cp:revision>
  <dcterms:created xsi:type="dcterms:W3CDTF">2018-04-10T19:44:00Z</dcterms:created>
  <dcterms:modified xsi:type="dcterms:W3CDTF">2018-04-10T19:53:00Z</dcterms:modified>
</cp:coreProperties>
</file>