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C4" w:rsidRDefault="00F77AC4" w:rsidP="00F77AC4">
      <w:pPr>
        <w:spacing w:before="100" w:beforeAutospacing="1" w:after="100" w:afterAutospacing="1"/>
      </w:pPr>
      <w:r>
        <w:rPr>
          <w:rFonts w:ascii="Georgia" w:hAnsi="Georgia"/>
          <w:color w:val="auto"/>
        </w:rPr>
        <w:t xml:space="preserve">The following are the preliminary March 2018 hotel performance figures for Aruba derived from the reports submitted to AHATA. </w:t>
      </w:r>
    </w:p>
    <w:p w:rsidR="00F77AC4" w:rsidRDefault="00F77AC4" w:rsidP="00F77AC4">
      <w:pPr>
        <w:spacing w:after="240"/>
      </w:pPr>
      <w:r>
        <w:rPr>
          <w:rFonts w:ascii="Georgia" w:hAnsi="Georgia"/>
          <w:color w:val="auto"/>
        </w:rPr>
        <w:t>The numbers are the aggregate figures for 14 properties including all the major hotels (except for the Hilton Aruba).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011"/>
        <w:gridCol w:w="2035"/>
        <w:gridCol w:w="1194"/>
        <w:gridCol w:w="774"/>
      </w:tblGrid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2018/2017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3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b/>
                <w:bCs/>
                <w:color w:val="auto"/>
              </w:rPr>
              <w:t>March 2018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change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Rooms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 4,572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 4,580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-0.2%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 141,732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141,980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-0.2%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 125,155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121,324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occupancy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88.3%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85.5%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points</w:t>
            </w: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ADR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$328.95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$288.24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14.1%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Rev Par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$290.48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$246.31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17.9%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Based on data from 14 properties.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F77AC4" w:rsidRDefault="00F77AC4" w:rsidP="00F77AC4">
      <w:pPr>
        <w:spacing w:before="100" w:beforeAutospacing="1" w:after="100" w:afterAutospacing="1"/>
      </w:pPr>
      <w:r>
        <w:rPr>
          <w:rFonts w:ascii="Georgia" w:hAnsi="Georgia"/>
          <w:color w:val="auto"/>
        </w:rPr>
        <w:t xml:space="preserve">In summary: -  </w:t>
      </w:r>
    </w:p>
    <w:p w:rsidR="00F77AC4" w:rsidRDefault="00F77AC4" w:rsidP="00F77AC4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 xml:space="preserve">Average room occupancy was up by 2.8 percentage points from 85.5% in March 2017 to 88.3% in March 2018. </w:t>
      </w:r>
    </w:p>
    <w:p w:rsidR="00F77AC4" w:rsidRDefault="00F77AC4" w:rsidP="00F77AC4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>The overall number of available room nights decreased by 0.2%. This was largely due to the reduction in transient room inventory at the Tropicana Aruba Resort &amp; Casino.</w:t>
      </w:r>
    </w:p>
    <w:p w:rsidR="00F77AC4" w:rsidRDefault="00F77AC4" w:rsidP="00F77AC4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>The total number of occupied room nights increased by 3.2%.</w:t>
      </w:r>
    </w:p>
    <w:p w:rsidR="00F77AC4" w:rsidRDefault="00F77AC4" w:rsidP="00F77AC4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>The overall ADR grew by 14.1% from $288.24 in March 2017 to $328.95 in March 2018.</w:t>
      </w:r>
    </w:p>
    <w:p w:rsidR="00F77AC4" w:rsidRDefault="00F77AC4" w:rsidP="00F77AC4">
      <w:pPr>
        <w:numPr>
          <w:ilvl w:val="0"/>
          <w:numId w:val="1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 xml:space="preserve">With the higher average occupancies and higher ADRs RevPar increased by 17.9% from $246.31 in March 2017 to $290.48 in March 2018. </w:t>
      </w:r>
    </w:p>
    <w:p w:rsidR="00F77AC4" w:rsidRDefault="00F77AC4" w:rsidP="00F77AC4">
      <w:pPr>
        <w:pStyle w:val="ListParagraph"/>
      </w:pPr>
      <w:r>
        <w:rPr>
          <w:rFonts w:ascii="Georgia" w:hAnsi="Georgia"/>
          <w:color w:val="auto"/>
        </w:rPr>
        <w:t> </w:t>
      </w:r>
    </w:p>
    <w:p w:rsidR="00F77AC4" w:rsidRDefault="00F77AC4" w:rsidP="00F77AC4">
      <w:pPr>
        <w:ind w:left="360"/>
      </w:pPr>
      <w:r>
        <w:rPr>
          <w:rFonts w:ascii="Georgia" w:hAnsi="Georgia"/>
          <w:color w:val="auto"/>
        </w:rPr>
        <w:t xml:space="preserve">Of the 14 hotels: - </w:t>
      </w:r>
    </w:p>
    <w:p w:rsidR="00F77AC4" w:rsidRDefault="00F77AC4" w:rsidP="00F77AC4">
      <w:r>
        <w:rPr>
          <w:rFonts w:ascii="Georgia" w:hAnsi="Georgia"/>
          <w:color w:val="auto"/>
        </w:rPr>
        <w:t> </w:t>
      </w:r>
    </w:p>
    <w:p w:rsidR="00F77AC4" w:rsidRDefault="00F77AC4" w:rsidP="00F77AC4">
      <w:pPr>
        <w:numPr>
          <w:ilvl w:val="0"/>
          <w:numId w:val="2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>Ten (10) hotels saw higher occupancies this March compared to March 2017, with four (4) seeing a lower average room occupancy.</w:t>
      </w:r>
    </w:p>
    <w:p w:rsidR="00F77AC4" w:rsidRDefault="00F77AC4" w:rsidP="00F77AC4">
      <w:pPr>
        <w:numPr>
          <w:ilvl w:val="0"/>
          <w:numId w:val="2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>Thirteen (13) hotels saw a higher average daily rate compared to March 2017 with one (1) seeing a lower ADR.</w:t>
      </w:r>
    </w:p>
    <w:p w:rsidR="00F77AC4" w:rsidRDefault="00F77AC4" w:rsidP="00F77AC4">
      <w:pPr>
        <w:numPr>
          <w:ilvl w:val="0"/>
          <w:numId w:val="2"/>
        </w:numPr>
        <w:rPr>
          <w:rFonts w:ascii="Calibri" w:eastAsia="Times New Roman" w:hAnsi="Calibri"/>
          <w:color w:val="auto"/>
        </w:rPr>
      </w:pPr>
      <w:r>
        <w:rPr>
          <w:rFonts w:ascii="Georgia" w:eastAsia="Times New Roman" w:hAnsi="Georgia"/>
          <w:color w:val="auto"/>
        </w:rPr>
        <w:t>Thirteen (13) hotels saw a higher RevPar in March 2018 than in March 2017 with one (1) seeing a lower RevPar.</w:t>
      </w:r>
    </w:p>
    <w:p w:rsidR="00F77AC4" w:rsidRDefault="00F77AC4" w:rsidP="00F77AC4">
      <w:r>
        <w:rPr>
          <w:rFonts w:ascii="Georgia" w:hAnsi="Georgia"/>
          <w:color w:val="auto"/>
        </w:rPr>
        <w:t> </w:t>
      </w:r>
    </w:p>
    <w:p w:rsidR="00F77AC4" w:rsidRDefault="00F77AC4" w:rsidP="00F77AC4">
      <w:proofErr w:type="gramStart"/>
      <w:r>
        <w:rPr>
          <w:rFonts w:ascii="Times New Roman" w:hAnsi="Times New Roman"/>
          <w:b/>
          <w:bCs/>
          <w:color w:val="auto"/>
        </w:rPr>
        <w:t>Year to Date.</w:t>
      </w:r>
      <w:proofErr w:type="gramEnd"/>
    </w:p>
    <w:p w:rsidR="00F77AC4" w:rsidRDefault="00F77AC4" w:rsidP="00F77AC4">
      <w:r>
        <w:rPr>
          <w:rFonts w:ascii="Times New Roman" w:hAnsi="Times New Roman"/>
          <w:b/>
          <w:bCs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2011"/>
        <w:gridCol w:w="2035"/>
        <w:gridCol w:w="1194"/>
        <w:gridCol w:w="774"/>
      </w:tblGrid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2018/2017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3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b/>
                <w:bCs/>
                <w:color w:val="auto"/>
              </w:rPr>
              <w:t>March 2018 YTD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% change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Rooms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 4,572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    4,580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-0.2%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 410,578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411,762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-0.3%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ORN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 370,369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           356,148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% occupancy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90.2%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86.5%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3.7%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points</w:t>
            </w: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ADR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$333.40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$300.72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10.9%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Rev Par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$300.75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right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$260.10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15.6%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77AC4" w:rsidTr="00F77AC4">
        <w:trPr>
          <w:trHeight w:val="29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Based on data from 14 properties.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F77AC4" w:rsidRDefault="00F77AC4" w:rsidP="00F77AC4">
      <w:pPr>
        <w:pStyle w:val="NormalWeb"/>
        <w:jc w:val="both"/>
      </w:pPr>
      <w:r>
        <w:rPr>
          <w:rFonts w:ascii="Georgia" w:hAnsi="Georgia"/>
        </w:rPr>
        <w:t>For the first three months of 2018 average room occupancy was up by 3.7 percentage points from 86.5% in 2017 to 90.2% in 2018. The number of available room nights decreased by 0.3%. The number of occupied room nights increased by 4.0% compared to the first three months of 2017. ADR grew by 10.9% and RevPar grew by 15.6%.</w:t>
      </w:r>
    </w:p>
    <w:p w:rsidR="00F77AC4" w:rsidRDefault="00F77AC4" w:rsidP="00F77AC4">
      <w:r>
        <w:rPr>
          <w:rFonts w:ascii="Georgia" w:hAnsi="Georgia"/>
          <w:b/>
          <w:bCs/>
          <w:color w:val="auto"/>
        </w:rPr>
        <w:t>By Month</w:t>
      </w:r>
    </w:p>
    <w:p w:rsidR="00F77AC4" w:rsidRDefault="00F77AC4" w:rsidP="00F77AC4">
      <w:r>
        <w:rPr>
          <w:rFonts w:ascii="Georgia" w:hAnsi="Georgia"/>
          <w:b/>
          <w:bCs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764"/>
        <w:gridCol w:w="764"/>
        <w:gridCol w:w="1090"/>
        <w:gridCol w:w="941"/>
        <w:gridCol w:w="941"/>
        <w:gridCol w:w="1090"/>
        <w:gridCol w:w="941"/>
        <w:gridCol w:w="941"/>
        <w:gridCol w:w="1090"/>
      </w:tblGrid>
      <w:tr w:rsidR="00F77AC4" w:rsidTr="00F77AC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Avg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Occupancy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RevPar</w:t>
            </w:r>
          </w:p>
        </w:tc>
      </w:tr>
      <w:tr w:rsidR="00F77AC4" w:rsidTr="00F77AC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chng</w:t>
            </w:r>
            <w:proofErr w:type="spellEnd"/>
          </w:p>
        </w:tc>
      </w:tr>
      <w:tr w:rsidR="00F77AC4" w:rsidTr="00F77AC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r>
              <w:rPr>
                <w:rFonts w:ascii="Calibri" w:hAnsi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$332.11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$301.69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$296.92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$256.42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15.8%</w:t>
            </w:r>
          </w:p>
        </w:tc>
      </w:tr>
      <w:tr w:rsidR="00F77AC4" w:rsidTr="00F77AC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r>
              <w:rPr>
                <w:rFonts w:ascii="Calibri" w:hAnsi="Calibr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$339.71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$312.96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$316.77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$279.56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13.3%</w:t>
            </w:r>
          </w:p>
        </w:tc>
      </w:tr>
      <w:tr w:rsidR="00F77AC4" w:rsidTr="00F77A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r>
              <w:rPr>
                <w:rFonts w:ascii="Calibri" w:hAnsi="Calibr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$328.95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$288.24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$290.48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$246.31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17.9%</w:t>
            </w:r>
          </w:p>
        </w:tc>
      </w:tr>
      <w:tr w:rsidR="00F77AC4" w:rsidTr="00F77AC4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r>
              <w:rPr>
                <w:rFonts w:ascii="Calibri" w:hAnsi="Calibri"/>
                <w:color w:val="000000"/>
                <w:sz w:val="22"/>
                <w:szCs w:val="22"/>
              </w:rPr>
              <w:t>YTD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90.2%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86.5%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$333.40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$300.72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$300.75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$260.10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15.6%</w:t>
            </w:r>
          </w:p>
        </w:tc>
      </w:tr>
    </w:tbl>
    <w:p w:rsidR="00F77AC4" w:rsidRDefault="00F77AC4" w:rsidP="00F77AC4">
      <w:r>
        <w:rPr>
          <w:rFonts w:ascii="Georgia" w:hAnsi="Georgia"/>
          <w:b/>
          <w:bCs/>
          <w:color w:val="auto"/>
        </w:rPr>
        <w:t> </w:t>
      </w:r>
    </w:p>
    <w:p w:rsidR="00F77AC4" w:rsidRDefault="00F77AC4" w:rsidP="00F77AC4">
      <w:r>
        <w:rPr>
          <w:rFonts w:ascii="Georgia" w:hAnsi="Georgia"/>
          <w:b/>
          <w:bCs/>
          <w:color w:val="auto"/>
        </w:rPr>
        <w:t> </w:t>
      </w:r>
    </w:p>
    <w:p w:rsidR="00F77AC4" w:rsidRDefault="00F77AC4" w:rsidP="00F77AC4">
      <w:r>
        <w:rPr>
          <w:rFonts w:ascii="Georgia" w:hAnsi="Georgia"/>
          <w:b/>
          <w:bCs/>
          <w:color w:val="auto"/>
        </w:rPr>
        <w:t>Cruise Traffic</w:t>
      </w:r>
    </w:p>
    <w:p w:rsidR="00F77AC4" w:rsidRDefault="00F77AC4" w:rsidP="00F77AC4">
      <w:r>
        <w:rPr>
          <w:rFonts w:ascii="Georgia" w:hAnsi="Georgia"/>
          <w:b/>
          <w:bCs/>
          <w:color w:val="auto"/>
        </w:rPr>
        <w:t> </w:t>
      </w: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28"/>
        <w:gridCol w:w="1788"/>
        <w:gridCol w:w="628"/>
        <w:gridCol w:w="1645"/>
        <w:gridCol w:w="825"/>
        <w:gridCol w:w="1459"/>
      </w:tblGrid>
      <w:tr w:rsidR="00F77AC4" w:rsidTr="00F77AC4">
        <w:trPr>
          <w:trHeight w:val="370"/>
        </w:trPr>
        <w:tc>
          <w:tcPr>
            <w:tcW w:w="8160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Cruise Visitors: Aruba 2018</w:t>
            </w:r>
          </w:p>
        </w:tc>
      </w:tr>
      <w:tr w:rsidR="00F77AC4" w:rsidTr="00F77AC4">
        <w:trPr>
          <w:trHeight w:val="290"/>
        </w:trPr>
        <w:tc>
          <w:tcPr>
            <w:tcW w:w="11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2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Per cent change</w:t>
            </w:r>
          </w:p>
        </w:tc>
      </w:tr>
      <w:tr w:rsidR="00F77AC4" w:rsidTr="00F77AC4">
        <w:trPr>
          <w:trHeight w:val="290"/>
        </w:trPr>
        <w:tc>
          <w:tcPr>
            <w:tcW w:w="11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Calls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Passengers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Calls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Passengers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Calls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Passengers</w:t>
            </w:r>
          </w:p>
        </w:tc>
      </w:tr>
      <w:tr w:rsidR="00F77AC4" w:rsidTr="00F77AC4">
        <w:trPr>
          <w:trHeight w:val="290"/>
        </w:trPr>
        <w:tc>
          <w:tcPr>
            <w:tcW w:w="11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January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53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 108,298 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44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 89,734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20.5%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20.7%</w:t>
            </w:r>
          </w:p>
        </w:tc>
      </w:tr>
      <w:tr w:rsidR="00F77AC4" w:rsidTr="00F77AC4">
        <w:trPr>
          <w:trHeight w:val="290"/>
        </w:trPr>
        <w:tc>
          <w:tcPr>
            <w:tcW w:w="11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February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41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   99,303 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38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 91,420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7.9%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8.6%</w:t>
            </w:r>
          </w:p>
        </w:tc>
      </w:tr>
      <w:tr w:rsidR="00F77AC4" w:rsidTr="00F77AC4">
        <w:trPr>
          <w:trHeight w:val="300"/>
        </w:trPr>
        <w:tc>
          <w:tcPr>
            <w:tcW w:w="11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March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 101,237 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41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 99,769 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-2.4%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1.5%</w:t>
            </w:r>
          </w:p>
        </w:tc>
      </w:tr>
      <w:tr w:rsidR="00F77AC4" w:rsidTr="00F77AC4">
        <w:trPr>
          <w:trHeight w:val="300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YTD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134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   308,838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123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        280,923 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8.9%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  <w:jc w:val="center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9.9%</w:t>
            </w:r>
          </w:p>
        </w:tc>
      </w:tr>
      <w:tr w:rsidR="00F77AC4" w:rsidTr="00F77AC4">
        <w:trPr>
          <w:trHeight w:val="290"/>
        </w:trPr>
        <w:tc>
          <w:tcPr>
            <w:tcW w:w="360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spacing w:line="276" w:lineRule="auto"/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Source: Aruba Port Authority.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7AC4" w:rsidRDefault="00F77AC4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244FEE" w:rsidRDefault="00244FEE"/>
    <w:sectPr w:rsidR="00244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D6" w:rsidRDefault="008715D6" w:rsidP="00F77AC4">
      <w:r>
        <w:separator/>
      </w:r>
    </w:p>
  </w:endnote>
  <w:endnote w:type="continuationSeparator" w:id="0">
    <w:p w:rsidR="008715D6" w:rsidRDefault="008715D6" w:rsidP="00F7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4" w:rsidRDefault="00F77A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4" w:rsidRDefault="00F77A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4" w:rsidRDefault="00F77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D6" w:rsidRDefault="008715D6" w:rsidP="00F77AC4">
      <w:r>
        <w:separator/>
      </w:r>
    </w:p>
  </w:footnote>
  <w:footnote w:type="continuationSeparator" w:id="0">
    <w:p w:rsidR="008715D6" w:rsidRDefault="008715D6" w:rsidP="00F7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4" w:rsidRDefault="00F77A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4" w:rsidRDefault="00F77AC4" w:rsidP="00F77AC4">
    <w:pPr>
      <w:pStyle w:val="Header"/>
      <w:jc w:val="center"/>
    </w:pPr>
    <w:r>
      <w:t>ARUBA HOTEL PERFORMANCE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4" w:rsidRDefault="00F77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70E"/>
    <w:multiLevelType w:val="multilevel"/>
    <w:tmpl w:val="71E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4C22BA"/>
    <w:multiLevelType w:val="multilevel"/>
    <w:tmpl w:val="DF7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C4"/>
    <w:rsid w:val="00244FEE"/>
    <w:rsid w:val="008715D6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C4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AC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F77AC4"/>
    <w:pPr>
      <w:ind w:left="720"/>
    </w:pPr>
    <w:rPr>
      <w:rFonts w:ascii="Calibri" w:hAnsi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77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C4"/>
    <w:rPr>
      <w:rFonts w:ascii="Verdana" w:hAnsi="Verdana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C4"/>
    <w:rPr>
      <w:rFonts w:ascii="Verdana" w:hAnsi="Verdana" w:cs="Times New Roman"/>
      <w:color w:val="00357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C4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AC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F77AC4"/>
    <w:pPr>
      <w:ind w:left="720"/>
    </w:pPr>
    <w:rPr>
      <w:rFonts w:ascii="Calibri" w:hAnsi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77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C4"/>
    <w:rPr>
      <w:rFonts w:ascii="Verdana" w:hAnsi="Verdana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C4"/>
    <w:rPr>
      <w:rFonts w:ascii="Verdana" w:hAnsi="Verdana" w:cs="Times New Roman"/>
      <w:color w:val="00357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Doria-Simpson</dc:creator>
  <cp:lastModifiedBy>Gabi Doria-Simpson</cp:lastModifiedBy>
  <cp:revision>1</cp:revision>
  <dcterms:created xsi:type="dcterms:W3CDTF">2018-04-10T19:44:00Z</dcterms:created>
  <dcterms:modified xsi:type="dcterms:W3CDTF">2018-04-10T19:53:00Z</dcterms:modified>
</cp:coreProperties>
</file>